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19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593"/>
        <w:gridCol w:w="1620"/>
        <w:gridCol w:w="855"/>
        <w:gridCol w:w="1170"/>
        <w:gridCol w:w="9"/>
        <w:gridCol w:w="3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序号</w:t>
            </w:r>
          </w:p>
        </w:tc>
        <w:tc>
          <w:tcPr>
            <w:tcW w:w="162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工作单位</w:t>
            </w:r>
          </w:p>
        </w:tc>
        <w:tc>
          <w:tcPr>
            <w:tcW w:w="855"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姓名</w:t>
            </w:r>
          </w:p>
        </w:tc>
        <w:tc>
          <w:tcPr>
            <w:tcW w:w="1170" w:type="dxa"/>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认定级别</w:t>
            </w:r>
          </w:p>
        </w:tc>
        <w:tc>
          <w:tcPr>
            <w:tcW w:w="3960" w:type="dxa"/>
            <w:gridSpan w:val="2"/>
            <w:tcBorders>
              <w:top w:val="single" w:color="000000" w:sz="4" w:space="0"/>
              <w:left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eastAsia="宋体" w:cs="Arial"/>
                <w:b/>
                <w:i w:val="0"/>
                <w:color w:val="000000"/>
                <w:sz w:val="18"/>
                <w:szCs w:val="18"/>
                <w:u w:val="none"/>
              </w:rPr>
            </w:pPr>
            <w:r>
              <w:rPr>
                <w:rFonts w:hint="default" w:ascii="Arial" w:hAnsi="Arial" w:eastAsia="宋体" w:cs="Arial"/>
                <w:b/>
                <w:i w:val="0"/>
                <w:color w:val="000000"/>
                <w:kern w:val="0"/>
                <w:sz w:val="18"/>
                <w:szCs w:val="18"/>
                <w:u w:val="none"/>
                <w:lang w:val="en-US" w:eastAsia="zh-CN" w:bidi="ar"/>
              </w:rPr>
              <w:t>主要认定依据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491"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太平财产保险</w:t>
            </w:r>
            <w:bookmarkStart w:id="0" w:name="_GoBack"/>
            <w:bookmarkEnd w:id="0"/>
            <w:r>
              <w:rPr>
                <w:rFonts w:hint="default" w:ascii="Arial" w:hAnsi="Arial" w:eastAsia="宋体" w:cs="Arial"/>
                <w:i w:val="0"/>
                <w:color w:val="000000"/>
                <w:kern w:val="0"/>
                <w:sz w:val="20"/>
                <w:szCs w:val="20"/>
                <w:u w:val="none"/>
                <w:lang w:val="en-US" w:eastAsia="zh-CN" w:bidi="ar"/>
              </w:rPr>
              <w:t>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顾骁勇</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获得特许金融分析师（CFA）或金融风险管理师（FRM）资格证书且正受聘我市经国家金融监管部门批准，在深圳注册的银行、证券公司、保险公司、基金管理公司、期货公司、信托投资公司、金融租赁公司等经营性总部金融企业或一级分支机构担任公司副职以上高管人员、首席分析师者（或首席经济学家）2年以上者（每个单位5年内可申报1人；如已认定人才任期未满且离职的，该单位可在其离职1年后，另行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深圳市中金岭南有色金属股份有限公司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刘野平</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国家科技进步奖二等奖前5名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胡昱</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罗丹</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龚志瑞</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许富明</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汪飞</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深圳迈瑞生物医疗电子股份有限公司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解传芬</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近5年，获得省、部、军队、国防科学技术奖一等奖前3名、省、部、军队、国防技术发明奖一等奖前3名，省、部、军队、国防科学技术进步奖特等奖前5名、一等奖前3名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深圳市古德菲力投资管理有限公司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吴金来</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近5年，在累计获得经证监会或地方政府备案的风投机构3000万元以上风险投资资金、且在深圳注册不超过8年的非上市创业创新型中小企业中担任董事长或总经理者（每个单位限报1人）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刘志山</w:t>
            </w:r>
          </w:p>
        </w:tc>
        <w:tc>
          <w:tcPr>
            <w:tcW w:w="117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6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省（哲学）社会科学优秀成果奖一等奖第1名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章礼富</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钟圣华</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王璐</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深圳市房地产评估和发展研究中心（深圳市地质环境监测中心）</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王萱</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深圳时尚峰绘化妆品有限公司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肖杰</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近5年，获得‘全国技术能手’荣誉称号的技术技能型、复合技能型高技能人才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张剑锋</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新世纪百千万人才工程国家级人选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招商局重工（深圳）有限公司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刘建成</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享受国务院特殊津贴人员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深圳市房地产评估和发展研究中心（深圳市地质环境监测中心）</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陈小平</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鹏城实验室</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王海燕</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中国农业科学院农业基因组研究所</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杜然</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深圳比才文化发展有限公司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吴烨宏</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近5年，获得省级技术能手或者省劳动保障部门组织的职业技能竞赛前3名的技术技能型、复合技能型高技能人才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牛芳芳</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李辉</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罗景庭</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国家科技进步奖二等奖前5名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王莹</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深圳技术大学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何俊锋</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深圳技术大学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陈菲</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近5年，获得省、部、军队、国防科学技术奖一等奖前3名、省、部、军队、国防技术发明奖一等奖前3名，省、部、军队、国防科学技术进步奖特等奖前5名、一等奖前3名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深圳裕策生物科技有限公司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吴东方</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近5年，在累计获得经证监会或地方政府备案的风投机构3000万元以上风险投资资金、且在深圳注册不超过8年的非上市创业创新型中小企业中担任董事长或总经理者（每个单位限报1人）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29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梁雄</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招商银行股份有限公司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黄传超</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深圳市大典创新供应链有限公司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丁春发</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深圳市城市公共安全技术研究院有限公司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习树峰</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深圳市茶博士文化传播有限公司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连岳群</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近5年，获得省级技术能手或者省劳动保障部门组织的职业技能竞赛前3名的技术技能型、复合技能型高技能人才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北京大学深圳研究生院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吴忠振</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深圳证券交易所</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殷明明</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深圳市投控资本有限公司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李颖</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深圳市奥斯科尔电子有限公司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刘畅</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深圳晶泰科技有限公司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陈萍</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39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健康元药业集团股份有限公司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周月广</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国家科技进步奖二等奖前5名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杜月</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汤圣君</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马英新</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李向新</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深圳ＴＣＬ工业研究院有限公司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李雪</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李南</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隋钰冰</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深圳市龙岗中心医院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杨贵</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王亚立</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49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深圳市德方纳米科技股份有限公司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万远鑫</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深圳市疾病预防控制中心（深圳市卫生检验中心、深圳市预防医学研究所）</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温莹</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鹏城实验室</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柏小东</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深圳市先进石墨烯应用技术研究院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张艳</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联想信息产品（深圳）有限公司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朱志权</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近5年，“深圳市产业发展与创新人才奖”获奖金额排名居本行业获奖人员前5%的副总经理级别及以上者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深圳市第三人民医院（深圳市肝病研究所）</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黄佳</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招商基金管理有限公司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金旭</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近5年，“深圳市产业发展与创新人才奖”获奖金额排名居本行业获奖人员前5%的副总经理级别及以上者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汪漪</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陈思</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深圳市创新投资集团有限公司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杜威</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59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深圳市创新投资集团有限公司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伍子同</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深圳市创新投资集团有限公司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邓柏峻</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深圳市妇幼保健院（深圳市妇幼保健中心、深圳市妇幼医学研究所）</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马飞</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谭宇翔</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深圳市神经科学研究院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刘洁</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深圳市城市规划设计研究院有限公司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单樑</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近5年，“深圳市产业发展与创新人才奖”获奖金额排名居本行业获奖人员前5%的副总经理级别及以上者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姜亮</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深圳市城市规划设计研究院有限公司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周亮</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清华大学深圳国际研究生院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唐仙</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黄春</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69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解志华</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广东粤海水务股份有限公司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陈停</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深圳技师学院（深圳高级技工学校）</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罗敏</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近5年，获得‘全国技术能手’荣誉称号的技术技能型、复合技能型高技能人才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深圳市展能生物科技有限公司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乔昕明</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近5年，获得中国专利优秀奖、中国外观设计金奖、省专利奖金奖前2名（须为专利发明人或设计人）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深圳清华大学研究院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刘蕊</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朱伟</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北京大学深圳研究生院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欧阳昆富</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近5年，教育部“211工程”院校国家重点学科博士生导师，且来深高校担任博士生导师者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深圳市赛尔盈电子有限公司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闻俊涛</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近5年，获得中国专利优秀奖、中国外观设计金奖、省专利奖金奖前2名（须为专利发明人或设计人）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中广核研究院有限公司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龚恒风</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陈跃星</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79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张一帆</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2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深圳市樱桃优品网络科技有限公司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何梦媛</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近5年，在累计获得经证监会或地方政府备案的风投机构3000万元以上风险投资资金、且在深圳注册不超过8年的非上市创业创新型中小企业中担任董事长或总经理者（每个单位限报1人）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王蒙</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深圳市中医院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蔡浩斌</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深圳证券交易所</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杨琨</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深圳证券交易所</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杨振新</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深圳市安邦信电子有限公司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陈鹏程</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近5年，担任省、部（重点）实验室主任、学术委员会主任，省、部工程实验室主任，省、部工程研究中心主任；（含筹建1年以上项目）（每项仅可申报1人）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深圳先进技术研究院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栗学磊</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深圳市乾行达科技有限公司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钟儒勉</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深圳技术大学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苏彦涛</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89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中国医学科学院肿瘤医院深圳医院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高静</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深圳市海普瑞药业集团股份有限公司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陈思远</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吕子玉</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深圳市地铁集团有限公司运营总部</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王兵</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近5年，获得‘全国技术能手’荣誉称号的技术技能型、复合技能型高技能人才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国信证券股份有限公司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张润泽</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深圳技师学院（深圳高级技工学校）</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邱新华</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近5年，获得‘全国技术能手’荣誉称号的技术技能型、复合技能型高技能人才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深圳技师学院（深圳高级技工学校）</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李卫华</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近5年，获得‘全国技术能手’荣誉称号的技术技能型、复合技能型高技能人才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许皓</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深圳技师学院（深圳高级技工学校）</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何善印</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近5年，获得‘全国技术能手’荣誉称号的技术技能型、复合技能型高技能人才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深圳碳云智能科技有限公司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王俊</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近5年，在Nature或Science上以第一作者或通讯作者发表论文者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99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王鑫</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深圳市老年医学研究所</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丁峰</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深圳市第二人民医院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谭回</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博士后出站留（来）深从事科研工作满3年者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中电科新型智慧城市研究院有限公司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程静</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享受国务院特殊津贴人员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南方科技大学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李媛媛</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深圳技术大学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章瑛</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哈尔滨工业大学（深圳）</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谷雨</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张国强</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深圳市宝安区沙井人民医院</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杜纪坤</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近5年，获得国家自然科学基金面上项目、重大研究计划项目、青年科学基金项目资助的项目第一人，且课题通过结题验收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欧伟</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109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丁东</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国金证券股份有限公司深圳深南大道证券营业部</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樊志远</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近5年，获得省专利奖优秀奖第1名（须为专利发明人及设计人）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深圳优色专显科技有限公司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王忠</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近5年，获得中国专利优秀奖、中国外观设计金奖、省专利奖金奖前2名（须为专利发明人或设计人）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深圳市中兴软件有限责任公司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肖华华</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近5年，担任国家科技重大专项专家组成员；项目（课题）第一副组长、分课题组长，且项目（课题）通过验收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深圳市中兴软件有限责任公司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辛雨</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近5年，担任国家科技重大专项专家组成员；项目（课题）第一副组长、分课题组长，且项目（课题）通过验收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深圳市中兴软件有限责任公司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李刚</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国家级领军人才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近5年，担任国家科技重大专项专家组组长、副组长；项目（课题）组长，且项目（课题）通过验收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梁超</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116</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深圳大学</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李琳玲</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近5年，获得中国博士后科学基金资助的出站留（来）深博士后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117</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深圳市一格教育科技有限公司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陈瑶</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近5年，获得中国专利优秀奖、中国外观设计金奖、省专利奖金奖前2名（须为专利发明人或设计人）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118</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深圳市德捷力冷冻科技有限公司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陈海洋</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119</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深圳市联谛信息无障碍有限责任公司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梁振宇</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120</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深圳安智杰科技有限公司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唐伟</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121</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深圳市英威腾控制技术有限公司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柯冬生</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122</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深圳市金龙锋科技有限公司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石军风</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0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123</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深圳市拓保软件有限公司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孙勇</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地方级领军人才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近5年，担任省、部（重点）实验室主任、学术委员会主任，省、部工程实验室主任，省、部工程研究中心主任；（含筹建1年以上项目）（每项仅可申报1人）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501"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124</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深圳市捷视飞通科技股份有限公司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察志富</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在任国家高新技术企业研发机构第一负责人、在任市高新技术企业研发机构第一负责人或在任深圳重点软件企业研发机构第一负责人，且符合下列条件之一者：a.国家、省、市科技计划项目核心成员；b.国家、省、市科技奖励获得者。（每个单位限申报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45" w:hRule="atLeast"/>
        </w:trPr>
        <w:tc>
          <w:tcPr>
            <w:tcW w:w="59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125</w:t>
            </w:r>
          </w:p>
        </w:tc>
        <w:tc>
          <w:tcPr>
            <w:tcW w:w="1620"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中海油信息科技有限公司</w:t>
            </w:r>
          </w:p>
        </w:tc>
        <w:tc>
          <w:tcPr>
            <w:tcW w:w="855"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施建衡</w:t>
            </w:r>
          </w:p>
        </w:tc>
        <w:tc>
          <w:tcPr>
            <w:tcW w:w="117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后备级人才</w:t>
            </w:r>
          </w:p>
        </w:tc>
        <w:tc>
          <w:tcPr>
            <w:tcW w:w="3951"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default" w:ascii="Arial" w:hAnsi="Arial" w:cs="Arial"/>
                <w:i w:val="0"/>
                <w:color w:val="000000"/>
                <w:sz w:val="20"/>
                <w:szCs w:val="20"/>
                <w:u w:val="none"/>
              </w:rPr>
            </w:pPr>
            <w:r>
              <w:rPr>
                <w:rFonts w:hint="default" w:ascii="Arial" w:hAnsi="Arial" w:eastAsia="宋体" w:cs="Arial"/>
                <w:i w:val="0"/>
                <w:color w:val="000000"/>
                <w:kern w:val="0"/>
                <w:sz w:val="20"/>
                <w:szCs w:val="20"/>
                <w:u w:val="none"/>
                <w:lang w:val="en-US" w:eastAsia="zh-CN" w:bidi="ar"/>
              </w:rPr>
              <w:t>近5年，担任市（地级市以上，下同）、厅（重点）实验室主任、市技术中心主任、市工程技术研究中心主任，市工程实验室主任，省工程实验室学术委员会主任（含筹建1年以上项目）（每项仅可申报1人）</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1F02D2"/>
    <w:rsid w:val="14F31C94"/>
    <w:rsid w:val="461F0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2019-11-19T07:59:00Z</dcterms:created>
  <dc:creator>市人力资源保障局 孔磊杰</dc:creator>
  <cp:lastModifiedBy>孔磊杰</cp:lastModifiedBy>
  <dcterms:modified xsi:type="dcterms:W3CDTF">2019-11-19T08:01:02Z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